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6116" w:type="dxa"/>
        <w:tblLook w:val="04A0" w:firstRow="1" w:lastRow="0" w:firstColumn="1" w:lastColumn="0" w:noHBand="0" w:noVBand="1"/>
      </w:tblPr>
      <w:tblGrid>
        <w:gridCol w:w="8058"/>
        <w:gridCol w:w="8058"/>
      </w:tblGrid>
      <w:tr>
        <w:trPr>
          <w:trHeight w:val="274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한국어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</w:p>
        </w:tc>
      </w:tr>
      <w:tr>
        <w:trPr>
          <w:trHeight w:val="82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5월 5일까지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종전보다 다소 완화된 형태로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사회적거리</w:t>
            </w:r>
            <w:r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thuyên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giảm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trướ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đây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chút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xúc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giãn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</w:t>
            </w:r>
            <w:r>
              <w:rPr>
                <w:rFonts w:hint="eastAsia"/>
                <w:sz w:val="24"/>
              </w:rPr>
              <w:t>분산시설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tán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공공시설 중 국립공원,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자연휴양림 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방역수칙</w:t>
            </w:r>
            <w:r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</w:p>
        </w:tc>
      </w:tr>
      <w:tr>
        <w:trPr>
          <w:trHeight w:val="82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dày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rFonts w:hint="eastAsia"/>
                <w:sz w:val="24"/>
              </w:rPr>
              <w:t>무관중</w:t>
            </w:r>
            <w:r>
              <w:rPr>
                <w:rFonts w:hint="eastAsia"/>
                <w:sz w:val="24"/>
              </w:rPr>
              <w:t xml:space="preserve"> 프로야구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와 같이 '분산</w:t>
            </w:r>
            <w:r>
              <w:rPr>
                <w:sz w:val="24"/>
              </w:rPr>
              <w:t xml:space="preserve">’ </w:t>
            </w:r>
            <w:r>
              <w:rPr>
                <w:rFonts w:hint="eastAsia"/>
                <w:sz w:val="24"/>
              </w:rPr>
              <w:t>조건을 달성할 수 있는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chày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민간부분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필수적인 시험 등 불가피한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방역지침을</w:t>
            </w:r>
            <w:r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lang w:eastAsia="ko-KR"/>
                <w:rFonts w:ascii="Times New Roman" w:hAnsi="Times New Roman" w:cs="Times New Roman"/>
                <w:sz w:val="24"/>
                <w:szCs w:val="24"/>
                <w:rtl w:val="off"/>
              </w:rPr>
              <w:t xml:space="preserve">như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bắt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buộc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tuân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유흥시설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일부 생활체육시설,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학원,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종교시설 등 기존 행정명령 유지,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tôn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vẫn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lệnh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trướ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đây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khuyến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ngưng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khuyến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여성가족부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đình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đài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1577-1366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8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김하희</cp:lastModifiedBy>
  <cp:revision>1</cp:revision>
  <dcterms:created xsi:type="dcterms:W3CDTF">2020-04-21T07:10:00Z</dcterms:created>
  <dcterms:modified xsi:type="dcterms:W3CDTF">2020-04-21T08:00:44Z</dcterms:modified>
  <cp:version>1000.0100.01</cp:version>
</cp:coreProperties>
</file>