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16116" w:type="dxa"/>
        <w:tblLook w:val="04A0" w:firstRow="1" w:lastRow="0" w:firstColumn="1" w:lastColumn="0" w:noHBand="0" w:noVBand="1"/>
      </w:tblPr>
      <w:tblGrid>
        <w:gridCol w:w="8058"/>
        <w:gridCol w:w="8058"/>
      </w:tblGrid>
      <w:tr>
        <w:trPr>
          <w:trHeight w:val="274" w:hRule="atLeast"/>
        </w:trPr>
        <w:tc>
          <w:tcPr>
            <w:tcW w:w="8058" w:type="dxa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한국어</w:t>
            </w:r>
          </w:p>
        </w:tc>
        <w:tc>
          <w:tcPr>
            <w:tcW w:w="8058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eastAsia="ko-KR"/>
                <w:rFonts w:hint="eastAsia"/>
                <w:sz w:val="24"/>
                <w:szCs w:val="24"/>
                <w:rtl w:val="off"/>
              </w:rPr>
              <w:t>러시아어</w:t>
            </w:r>
          </w:p>
        </w:tc>
      </w:tr>
      <w:tr>
        <w:trPr>
          <w:trHeight w:val="1674" w:hRule="atLeast"/>
        </w:trPr>
        <w:tc>
          <w:tcPr>
            <w:tcW w:w="8058" w:type="dxa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5월 5일까지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종전보다 다소 완화된 형태로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사회적거리</w:t>
            </w:r>
            <w:r>
              <w:rPr>
                <w:rFonts w:hint="eastAsia"/>
                <w:sz w:val="24"/>
              </w:rPr>
              <w:t xml:space="preserve"> 두기 계속 추진합니다</w:t>
            </w:r>
          </w:p>
        </w:tc>
        <w:tc>
          <w:tcPr>
            <w:tcW w:w="8058" w:type="dxa"/>
            <w:vAlign w:val="top"/>
          </w:tcPr>
          <w:p>
            <w:pPr>
              <w:jc w:val="center"/>
              <w:rPr>
                <w:lang w:val="ru-RU"/>
                <w:rFonts/>
                <w:color w:val="0000FF"/>
                <w:sz w:val="24"/>
                <w:rtl w:val="off"/>
              </w:rPr>
            </w:pPr>
            <w:r>
              <w:rPr>
                <w:lang w:val="ru-RU"/>
                <w:rFonts/>
                <w:color w:val="0000FF"/>
                <w:sz w:val="24"/>
                <w:rtl w:val="off"/>
              </w:rPr>
              <w:t xml:space="preserve">Раннее введенный режим социального дистанцирования 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lang w:val="ru-RU"/>
                <w:rFonts/>
                <w:color w:val="0000FF"/>
                <w:sz w:val="24"/>
                <w:rtl w:val="off"/>
              </w:rPr>
              <w:t>продлен до 5 мая в более ослабленном виде</w:t>
            </w:r>
          </w:p>
        </w:tc>
      </w:tr>
      <w:tr>
        <w:trPr>
          <w:trHeight w:val="785" w:hRule="atLeast"/>
        </w:trPr>
        <w:tc>
          <w:tcPr>
            <w:tcW w:w="8058" w:type="dxa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실외-</w:t>
            </w:r>
            <w:r>
              <w:rPr>
                <w:rFonts w:hint="eastAsia"/>
                <w:sz w:val="24"/>
              </w:rPr>
              <w:t>분산시설</w:t>
            </w:r>
          </w:p>
        </w:tc>
        <w:tc>
          <w:tcPr>
            <w:tcW w:w="8058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val="ru-RU"/>
                <w:color w:val="0000FF"/>
                <w:sz w:val="24"/>
                <w:szCs w:val="24"/>
                <w:rtl w:val="off"/>
              </w:rPr>
              <w:t xml:space="preserve">Общественные пространства </w:t>
            </w:r>
          </w:p>
        </w:tc>
      </w:tr>
      <w:tr>
        <w:trPr>
          <w:trHeight w:val="785" w:hRule="atLeast"/>
        </w:trPr>
        <w:tc>
          <w:tcPr>
            <w:tcW w:w="8058" w:type="dxa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공공시설 중 국립공원,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자연휴양림 등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방역수칙</w:t>
            </w:r>
            <w:r>
              <w:rPr>
                <w:rFonts w:hint="eastAsia"/>
                <w:sz w:val="24"/>
              </w:rPr>
              <w:t xml:space="preserve"> 마련을 전제로 단계적으로 운영 재개</w:t>
            </w:r>
          </w:p>
        </w:tc>
        <w:tc>
          <w:tcPr>
            <w:tcW w:w="8058" w:type="dxa"/>
            <w:vAlign w:val="top"/>
          </w:tcPr>
          <w:p>
            <w:pPr>
              <w:jc w:val="center"/>
              <w:rPr>
                <w:lang w:eastAsia="ko-KR"/>
                <w:rFonts w:hint="eastAsia"/>
                <w:color w:val="0000FF"/>
                <w:sz w:val="24"/>
                <w:szCs w:val="24"/>
                <w:rtl w:val="off"/>
              </w:rPr>
            </w:pPr>
            <w:r>
              <w:rPr>
                <w:lang w:val="ru-RU" w:eastAsia="ko-KR"/>
                <w:rFonts w:hint="eastAsia"/>
                <w:color w:val="0000FF"/>
                <w:sz w:val="24"/>
                <w:szCs w:val="24"/>
                <w:rtl w:val="off"/>
              </w:rPr>
              <w:t xml:space="preserve">Поэтапное возобновление деятельности в 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lang w:val="ru-RU"/>
                <w:color w:val="0000FF"/>
                <w:sz w:val="24"/>
                <w:szCs w:val="24"/>
                <w:rtl w:val="off"/>
              </w:rPr>
              <w:t>местах общественного пользования, такие как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>государственны</w:t>
            </w:r>
            <w:r>
              <w:rPr>
                <w:lang w:val="ru-RU"/>
                <w:color w:val="0000FF"/>
                <w:sz w:val="24"/>
                <w:szCs w:val="24"/>
                <w:rtl w:val="off"/>
              </w:rPr>
              <w:t>е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>национальны</w:t>
            </w:r>
            <w:r>
              <w:rPr>
                <w:lang w:val="ru-RU"/>
                <w:color w:val="0000FF"/>
                <w:sz w:val="24"/>
                <w:szCs w:val="24"/>
                <w:rtl w:val="off"/>
              </w:rPr>
              <w:t>е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>парк</w:t>
            </w:r>
            <w:r>
              <w:rPr>
                <w:lang w:val="ru-RU"/>
                <w:color w:val="0000FF"/>
                <w:sz w:val="24"/>
                <w:szCs w:val="24"/>
                <w:rtl w:val="off"/>
              </w:rPr>
              <w:t>и</w:t>
            </w:r>
            <w:r>
              <w:rPr>
                <w:color w:val="0000FF"/>
                <w:sz w:val="24"/>
                <w:szCs w:val="24"/>
              </w:rPr>
              <w:t xml:space="preserve">, </w:t>
            </w:r>
            <w:r>
              <w:rPr>
                <w:color w:val="0000FF"/>
                <w:sz w:val="24"/>
                <w:szCs w:val="24"/>
              </w:rPr>
              <w:t>природны</w:t>
            </w:r>
            <w:r>
              <w:rPr>
                <w:lang w:val="ru-RU"/>
                <w:color w:val="0000FF"/>
                <w:sz w:val="24"/>
                <w:szCs w:val="24"/>
                <w:rtl w:val="off"/>
              </w:rPr>
              <w:t>е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 xml:space="preserve">места </w:t>
            </w:r>
            <w:r>
              <w:rPr>
                <w:color w:val="0000FF"/>
                <w:sz w:val="24"/>
                <w:szCs w:val="24"/>
              </w:rPr>
              <w:t>отдыха</w:t>
            </w:r>
            <w:r>
              <w:rPr>
                <w:color w:val="0000FF"/>
                <w:sz w:val="24"/>
                <w:szCs w:val="24"/>
              </w:rPr>
              <w:t xml:space="preserve"> и </w:t>
            </w:r>
            <w:r>
              <w:rPr>
                <w:color w:val="0000FF"/>
                <w:sz w:val="24"/>
                <w:szCs w:val="24"/>
              </w:rPr>
              <w:t>др</w:t>
            </w:r>
            <w:r>
              <w:rPr>
                <w:lang w:val="ru-RU"/>
                <w:color w:val="0000FF"/>
                <w:sz w:val="24"/>
                <w:szCs w:val="24"/>
                <w:rtl w:val="off"/>
              </w:rPr>
              <w:t>угое, при условии соблюдения всех профилактических мер</w:t>
            </w:r>
          </w:p>
        </w:tc>
      </w:tr>
      <w:tr>
        <w:trPr>
          <w:trHeight w:val="825" w:hRule="atLeast"/>
        </w:trPr>
        <w:tc>
          <w:tcPr>
            <w:tcW w:w="8058" w:type="dxa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실외-밀집 시설</w:t>
            </w:r>
          </w:p>
        </w:tc>
        <w:tc>
          <w:tcPr>
            <w:tcW w:w="8058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lang w:val="ru-RU"/>
                <w:color w:val="0000FF"/>
                <w:sz w:val="24"/>
                <w:szCs w:val="24"/>
                <w:rtl w:val="off"/>
              </w:rPr>
              <w:t>Заведения</w:t>
            </w:r>
            <w:r>
              <w:rPr>
                <w:color w:val="0000FF"/>
                <w:sz w:val="24"/>
                <w:szCs w:val="24"/>
              </w:rPr>
              <w:t xml:space="preserve"> и </w:t>
            </w:r>
            <w:r>
              <w:rPr>
                <w:color w:val="0000FF"/>
                <w:sz w:val="24"/>
                <w:szCs w:val="24"/>
              </w:rPr>
              <w:t>места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>массового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>скопления</w:t>
            </w:r>
            <w:r>
              <w:rPr>
                <w:lang w:val="ru-RU"/>
                <w:color w:val="0000FF"/>
                <w:sz w:val="24"/>
                <w:szCs w:val="24"/>
                <w:rtl w:val="off"/>
              </w:rPr>
              <w:t xml:space="preserve"> людей</w:t>
            </w:r>
          </w:p>
        </w:tc>
      </w:tr>
      <w:tr>
        <w:trPr>
          <w:trHeight w:val="785" w:hRule="atLeast"/>
        </w:trPr>
        <w:tc>
          <w:tcPr>
            <w:tcW w:w="8058" w:type="dxa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‘</w:t>
            </w:r>
            <w:r>
              <w:rPr>
                <w:rFonts w:hint="eastAsia"/>
                <w:sz w:val="24"/>
              </w:rPr>
              <w:t>무관중</w:t>
            </w:r>
            <w:r>
              <w:rPr>
                <w:rFonts w:hint="eastAsia"/>
                <w:sz w:val="24"/>
              </w:rPr>
              <w:t xml:space="preserve"> 프로야구</w:t>
            </w:r>
            <w:r>
              <w:rPr>
                <w:sz w:val="24"/>
              </w:rPr>
              <w:t>’</w:t>
            </w:r>
            <w:r>
              <w:rPr>
                <w:rFonts w:hint="eastAsia"/>
                <w:sz w:val="24"/>
              </w:rPr>
              <w:t>와 같이 '분산</w:t>
            </w:r>
            <w:r>
              <w:rPr>
                <w:sz w:val="24"/>
              </w:rPr>
              <w:t xml:space="preserve">’ </w:t>
            </w:r>
            <w:r>
              <w:rPr>
                <w:rFonts w:hint="eastAsia"/>
                <w:sz w:val="24"/>
              </w:rPr>
              <w:t>조건을 달성할 수 있는 경우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제한적으로 운영 재개</w:t>
            </w:r>
          </w:p>
        </w:tc>
        <w:tc>
          <w:tcPr>
            <w:tcW w:w="8058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val="ru-RU"/>
                <w:color w:val="0000FF"/>
                <w:sz w:val="24"/>
                <w:szCs w:val="24"/>
                <w:rtl w:val="off"/>
              </w:rPr>
              <w:t>В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>случае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lang w:val="ru-RU"/>
                <w:color w:val="0000FF"/>
                <w:sz w:val="24"/>
                <w:szCs w:val="24"/>
                <w:rtl w:val="off"/>
              </w:rPr>
              <w:t>введения новой схемы рассадки людей,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lang w:val="ru-RU"/>
                <w:color w:val="0000FF"/>
                <w:sz w:val="24"/>
                <w:szCs w:val="24"/>
                <w:rtl w:val="off"/>
              </w:rPr>
              <w:t>подобно “профессиональному бейсболу без зрителей</w:t>
            </w:r>
            <w:r>
              <w:rPr>
                <w:color w:val="0000FF"/>
                <w:sz w:val="24"/>
                <w:szCs w:val="24"/>
              </w:rPr>
              <w:t>"</w:t>
            </w:r>
            <w:r>
              <w:rPr>
                <w:lang w:val="ru-RU"/>
                <w:color w:val="0000FF"/>
                <w:sz w:val="24"/>
                <w:szCs w:val="24"/>
                <w:rtl w:val="off"/>
              </w:rPr>
              <w:t>,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>возможно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lang w:val="ru-RU"/>
                <w:color w:val="0000FF"/>
                <w:sz w:val="24"/>
                <w:szCs w:val="24"/>
                <w:rtl w:val="off"/>
              </w:rPr>
              <w:t>ограниченное возобновление деятельности</w:t>
            </w:r>
          </w:p>
        </w:tc>
      </w:tr>
      <w:tr>
        <w:trPr>
          <w:trHeight w:val="785" w:hRule="atLeast"/>
        </w:trPr>
        <w:tc>
          <w:tcPr>
            <w:tcW w:w="8058" w:type="dxa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민간부분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058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val="ru-RU"/>
                <w:rFonts w:hint="eastAsia"/>
                <w:color w:val="0000FF"/>
                <w:sz w:val="24"/>
                <w:szCs w:val="24"/>
                <w:rtl w:val="off"/>
              </w:rPr>
              <w:t>Частные заведения</w:t>
            </w:r>
          </w:p>
        </w:tc>
      </w:tr>
      <w:tr>
        <w:trPr>
          <w:trHeight w:val="785" w:hRule="atLeast"/>
        </w:trPr>
        <w:tc>
          <w:tcPr>
            <w:tcW w:w="8058" w:type="dxa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필수적인 시험 등 불가피한 경우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방역지침을</w:t>
            </w:r>
            <w:r>
              <w:rPr>
                <w:rFonts w:hint="eastAsia"/>
                <w:sz w:val="24"/>
              </w:rPr>
              <w:t xml:space="preserve"> 준수하는 범위에서 제한적으로 시행 허용</w:t>
            </w:r>
          </w:p>
        </w:tc>
        <w:tc>
          <w:tcPr>
            <w:tcW w:w="8058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val="ru-RU"/>
                <w:rFonts w:hint="eastAsia"/>
                <w:color w:val="0000FF"/>
                <w:sz w:val="24"/>
                <w:szCs w:val="24"/>
                <w:rtl w:val="off"/>
              </w:rPr>
              <w:t>В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>исключительных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>случаях</w:t>
            </w:r>
            <w:r>
              <w:rPr>
                <w:color w:val="0000FF"/>
                <w:sz w:val="24"/>
                <w:szCs w:val="24"/>
              </w:rPr>
              <w:t xml:space="preserve">, </w:t>
            </w:r>
            <w:r>
              <w:rPr>
                <w:color w:val="0000FF"/>
                <w:sz w:val="24"/>
                <w:szCs w:val="24"/>
              </w:rPr>
              <w:t>таки</w:t>
            </w:r>
            <w:r>
              <w:rPr>
                <w:lang w:val="ru-RU"/>
                <w:color w:val="0000FF"/>
                <w:sz w:val="24"/>
                <w:szCs w:val="24"/>
                <w:rtl w:val="off"/>
              </w:rPr>
              <w:t>е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>как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lang w:val="ru-RU"/>
                <w:color w:val="0000FF"/>
                <w:sz w:val="24"/>
                <w:szCs w:val="24"/>
                <w:rtl w:val="off"/>
              </w:rPr>
              <w:t xml:space="preserve">экзамены в </w:t>
            </w:r>
            <w:r>
              <w:rPr>
                <w:color w:val="0000FF"/>
                <w:sz w:val="24"/>
                <w:szCs w:val="24"/>
              </w:rPr>
              <w:t>обязательн</w:t>
            </w:r>
            <w:r>
              <w:rPr>
                <w:lang w:val="ru-RU"/>
                <w:color w:val="0000FF"/>
                <w:sz w:val="24"/>
                <w:szCs w:val="24"/>
                <w:rtl w:val="off"/>
              </w:rPr>
              <w:t>ом порядке и т.п.</w:t>
            </w:r>
            <w:r>
              <w:rPr>
                <w:color w:val="0000FF"/>
                <w:sz w:val="24"/>
                <w:szCs w:val="24"/>
              </w:rPr>
              <w:t xml:space="preserve">, </w:t>
            </w:r>
            <w:r>
              <w:rPr>
                <w:color w:val="0000FF"/>
                <w:sz w:val="24"/>
                <w:szCs w:val="24"/>
              </w:rPr>
              <w:t>возможно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lang w:val="ru-RU"/>
                <w:color w:val="0000FF"/>
                <w:sz w:val="24"/>
                <w:szCs w:val="24"/>
                <w:rtl w:val="off"/>
              </w:rPr>
              <w:t>разрешение на ограниченную деятельность</w:t>
            </w:r>
            <w:r>
              <w:rPr>
                <w:color w:val="0000FF"/>
                <w:sz w:val="24"/>
                <w:szCs w:val="24"/>
              </w:rPr>
              <w:t xml:space="preserve"> в </w:t>
            </w:r>
            <w:r>
              <w:rPr>
                <w:color w:val="0000FF"/>
                <w:sz w:val="24"/>
                <w:szCs w:val="24"/>
              </w:rPr>
              <w:t>рамках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>профилактических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>мер</w:t>
            </w:r>
            <w:r>
              <w:rPr>
                <w:color w:val="0000FF"/>
                <w:sz w:val="24"/>
                <w:szCs w:val="24"/>
              </w:rPr>
              <w:t>.</w:t>
            </w:r>
          </w:p>
        </w:tc>
      </w:tr>
      <w:tr>
        <w:trPr>
          <w:trHeight w:val="785" w:hRule="atLeast"/>
        </w:trPr>
        <w:tc>
          <w:tcPr>
            <w:tcW w:w="8058" w:type="dxa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유흥시설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일부 생활체육시설,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학원,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종교시설 등 기존 행정명령 유지,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운영 중단 권고에서 운영 자제 권고로 조정</w:t>
            </w:r>
          </w:p>
        </w:tc>
        <w:tc>
          <w:tcPr>
            <w:tcW w:w="8058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lang w:val="ru-RU"/>
                <w:color w:val="0000FF"/>
                <w:sz w:val="24"/>
                <w:szCs w:val="24"/>
                <w:rtl w:val="off"/>
              </w:rPr>
              <w:t>Действующий у</w:t>
            </w:r>
            <w:r>
              <w:rPr>
                <w:color w:val="0000FF"/>
                <w:sz w:val="24"/>
                <w:szCs w:val="24"/>
              </w:rPr>
              <w:t xml:space="preserve">каз </w:t>
            </w:r>
            <w:r>
              <w:rPr>
                <w:color w:val="0000FF"/>
                <w:sz w:val="24"/>
                <w:szCs w:val="24"/>
              </w:rPr>
              <w:t>вышестоящих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>инстанций</w:t>
            </w:r>
            <w:r>
              <w:rPr>
                <w:color w:val="0000FF"/>
                <w:sz w:val="24"/>
                <w:szCs w:val="24"/>
              </w:rPr>
              <w:t xml:space="preserve"> в </w:t>
            </w:r>
            <w:r>
              <w:rPr>
                <w:color w:val="0000FF"/>
                <w:sz w:val="24"/>
                <w:szCs w:val="24"/>
              </w:rPr>
              <w:t>отношении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>развлекательных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>комплексов</w:t>
            </w:r>
            <w:r>
              <w:rPr>
                <w:color w:val="0000FF"/>
                <w:sz w:val="24"/>
                <w:szCs w:val="24"/>
              </w:rPr>
              <w:t xml:space="preserve">, </w:t>
            </w:r>
            <w:r>
              <w:rPr>
                <w:color w:val="0000FF"/>
                <w:sz w:val="24"/>
                <w:szCs w:val="24"/>
              </w:rPr>
              <w:t>частично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>спортивных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>комплексов</w:t>
            </w:r>
            <w:r>
              <w:rPr>
                <w:color w:val="0000FF"/>
                <w:sz w:val="24"/>
                <w:szCs w:val="24"/>
              </w:rPr>
              <w:t xml:space="preserve">, </w:t>
            </w:r>
            <w:r>
              <w:rPr>
                <w:color w:val="0000FF"/>
                <w:sz w:val="24"/>
                <w:szCs w:val="24"/>
              </w:rPr>
              <w:t>частных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>образовательных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>учреждений</w:t>
            </w:r>
            <w:r>
              <w:rPr>
                <w:lang w:val="ru-RU"/>
                <w:color w:val="0000FF"/>
                <w:sz w:val="24"/>
                <w:szCs w:val="24"/>
                <w:rtl w:val="off"/>
              </w:rPr>
              <w:t>,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>религиозных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>учреждений</w:t>
            </w:r>
            <w:r>
              <w:rPr>
                <w:lang w:val="ru-RU"/>
                <w:color w:val="0000FF"/>
                <w:sz w:val="24"/>
                <w:szCs w:val="24"/>
                <w:rtl w:val="off"/>
              </w:rPr>
              <w:t xml:space="preserve"> и др. о приостановлении деятельности </w:t>
            </w:r>
            <w:r>
              <w:rPr>
                <w:lang w:val="ru-RU"/>
                <w:color w:val="0000FF"/>
                <w:sz w:val="24"/>
                <w:szCs w:val="24"/>
                <w:rtl w:val="off"/>
              </w:rPr>
              <w:t>остается в силе с поправкой на рекомендации по воздержанию деятельности.</w:t>
            </w:r>
          </w:p>
        </w:tc>
      </w:tr>
      <w:tr>
        <w:trPr>
          <w:trHeight w:val="785" w:hRule="atLeast"/>
        </w:trPr>
        <w:tc>
          <w:tcPr>
            <w:tcW w:w="8058" w:type="dxa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여성가족부</w:t>
            </w:r>
          </w:p>
        </w:tc>
        <w:tc>
          <w:tcPr>
            <w:tcW w:w="8058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val="ru-RU"/>
                <w:rFonts w:hint="eastAsia"/>
                <w:color w:val="0000FF"/>
                <w:sz w:val="24"/>
                <w:szCs w:val="24"/>
                <w:rtl w:val="off"/>
              </w:rPr>
              <w:t>Министерство по делам женщин и семьи</w:t>
            </w:r>
          </w:p>
        </w:tc>
      </w:tr>
      <w:tr>
        <w:trPr>
          <w:trHeight w:val="785" w:hRule="atLeast"/>
        </w:trPr>
        <w:tc>
          <w:tcPr>
            <w:tcW w:w="8058" w:type="dxa"/>
            <w:vAlign w:val="top"/>
          </w:tcPr>
          <w:p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이 번역은 다누리콜센터1577-1366에서 하였습니다.</w:t>
            </w:r>
          </w:p>
        </w:tc>
        <w:tc>
          <w:tcPr>
            <w:tcW w:w="8058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Данный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перевод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колл-центром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Данури</w:t>
            </w:r>
            <w:r>
              <w:rPr>
                <w:sz w:val="24"/>
                <w:szCs w:val="24"/>
              </w:rPr>
              <w:t xml:space="preserve"> 1577-1366</w:t>
            </w:r>
          </w:p>
        </w:tc>
      </w:tr>
    </w:tbl>
    <w:p>
      <w:pPr>
        <w:jc w:val="center"/>
      </w:pPr>
    </w:p>
    <w:sectPr>
      <w:pgSz w:w="16838" w:h="11906" w:orient="landscape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0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0" w:qFormat="1"/>
    <w:lsdException w:name="Emphasis" w:uiPriority="1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0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22"/>
    <w:lsdException w:name="Light List" w:uiPriority="823"/>
    <w:lsdException w:name="Light Grid" w:uiPriority="824"/>
    <w:lsdException w:name="Medium Shading 1" w:uiPriority="825"/>
    <w:lsdException w:name="Medium Shading 2" w:uiPriority="1432"/>
    <w:lsdException w:name="Medium List 1" w:uiPriority="1433"/>
    <w:lsdException w:name="Medium List 2" w:uiPriority="1536"/>
    <w:lsdException w:name="Medium Grid 1" w:uiPriority="1537"/>
    <w:lsdException w:name="Medium Grid 2" w:uiPriority="1544"/>
    <w:lsdException w:name="Medium Grid 3" w:uiPriority="1545"/>
    <w:lsdException w:name="Dark List" w:uiPriority="1576"/>
    <w:lsdException w:name="Colorful Shading" w:uiPriority="1577"/>
    <w:lsdException w:name="Colorful List" w:uiPriority="1584"/>
    <w:lsdException w:name="Colorful Grid" w:uiPriority="1585"/>
    <w:lsdException w:name="Light Shading Accent 1" w:uiPriority="822"/>
    <w:lsdException w:name="Light List Accent 1" w:uiPriority="823"/>
    <w:lsdException w:name="Light Grid Accent 1" w:uiPriority="824"/>
    <w:lsdException w:name="Medium Shading 1 Accent 1" w:uiPriority="825"/>
    <w:lsdException w:name="Medium Shading 2 Accent 1" w:uiPriority="1432"/>
    <w:lsdException w:name="Medium List 1 Accent 1" w:uiPriority="1433"/>
    <w:lsdException w:name="Revision" w:semiHidden="1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 w:uiPriority="1536"/>
    <w:lsdException w:name="Medium Grid 1 Accent 1" w:uiPriority="1537"/>
    <w:lsdException w:name="Medium Grid 2 Accent 1" w:uiPriority="1544"/>
    <w:lsdException w:name="Medium Grid 3 Accent 1" w:uiPriority="1545"/>
    <w:lsdException w:name="Dark List Accent 1" w:uiPriority="1576"/>
    <w:lsdException w:name="Colorful Shading Accent 1" w:uiPriority="1577"/>
    <w:lsdException w:name="Colorful List Accent 1" w:uiPriority="1584"/>
    <w:lsdException w:name="Colorful Grid Accent 1" w:uiPriority="1585"/>
    <w:lsdException w:name="Light Shading Accent 2" w:uiPriority="822"/>
    <w:lsdException w:name="Light List Accent 2" w:uiPriority="823"/>
    <w:lsdException w:name="Light Grid Accent 2" w:uiPriority="824"/>
    <w:lsdException w:name="Medium Shading 1 Accent 2" w:uiPriority="825"/>
    <w:lsdException w:name="Medium Shading 2 Accent 2" w:uiPriority="1432"/>
    <w:lsdException w:name="Medium List 1 Accent 2" w:uiPriority="1433"/>
    <w:lsdException w:name="Medium List 2 Accent 2" w:uiPriority="1536"/>
    <w:lsdException w:name="Medium Grid 1 Accent 2" w:uiPriority="1537"/>
    <w:lsdException w:name="Medium Grid 2 Accent 2" w:uiPriority="1544"/>
    <w:lsdException w:name="Medium Grid 3 Accent 2" w:uiPriority="1545"/>
    <w:lsdException w:name="Dark List Accent 2" w:uiPriority="1576"/>
    <w:lsdException w:name="Colorful Shading Accent 2" w:uiPriority="1577"/>
    <w:lsdException w:name="Colorful List Accent 2" w:uiPriority="1584"/>
    <w:lsdException w:name="Colorful Grid Accent 2" w:uiPriority="1585"/>
    <w:lsdException w:name="Light Shading Accent 3" w:uiPriority="822"/>
    <w:lsdException w:name="Light List Accent 3" w:uiPriority="823"/>
    <w:lsdException w:name="Light Grid Accent 3" w:uiPriority="824"/>
    <w:lsdException w:name="Medium Shading 1 Accent 3" w:uiPriority="825"/>
    <w:lsdException w:name="Medium Shading 2 Accent 3" w:uiPriority="1432"/>
    <w:lsdException w:name="Medium List 1 Accent 3" w:uiPriority="1433"/>
    <w:lsdException w:name="Medium List 2 Accent 3" w:uiPriority="1536"/>
    <w:lsdException w:name="Medium Grid 1 Accent 3" w:uiPriority="1537"/>
    <w:lsdException w:name="Medium Grid 2 Accent 3" w:uiPriority="1544"/>
    <w:lsdException w:name="Medium Grid 3 Accent 3" w:uiPriority="1545"/>
    <w:lsdException w:name="Dark List Accent 3" w:uiPriority="1576"/>
    <w:lsdException w:name="Colorful Shading Accent 3" w:uiPriority="1577"/>
    <w:lsdException w:name="Colorful List Accent 3" w:uiPriority="1584"/>
    <w:lsdException w:name="Colorful Grid Accent 3" w:uiPriority="1585"/>
    <w:lsdException w:name="Light Shading Accent 4" w:uiPriority="822"/>
    <w:lsdException w:name="Light List Accent 4" w:uiPriority="823"/>
    <w:lsdException w:name="Light Grid Accent 4" w:uiPriority="824"/>
    <w:lsdException w:name="Medium Shading 1 Accent 4" w:uiPriority="825"/>
    <w:lsdException w:name="Medium Shading 2 Accent 4" w:uiPriority="1432"/>
    <w:lsdException w:name="Medium List 1 Accent 4" w:uiPriority="1433"/>
    <w:lsdException w:name="Medium List 2 Accent 4" w:uiPriority="1536"/>
    <w:lsdException w:name="Medium Grid 1 Accent 4" w:uiPriority="1537"/>
    <w:lsdException w:name="Medium Grid 2 Accent 4" w:uiPriority="1544"/>
    <w:lsdException w:name="Medium Grid 3 Accent 4" w:uiPriority="1545"/>
    <w:lsdException w:name="Dark List Accent 4" w:uiPriority="1576"/>
    <w:lsdException w:name="Colorful Shading Accent 4" w:uiPriority="1577"/>
    <w:lsdException w:name="Colorful List Accent 4" w:uiPriority="1584"/>
    <w:lsdException w:name="Colorful Grid Accent 4" w:uiPriority="1585"/>
    <w:lsdException w:name="Light Shading Accent 5" w:uiPriority="822"/>
    <w:lsdException w:name="Light List Accent 5" w:uiPriority="823"/>
    <w:lsdException w:name="Light Grid Accent 5" w:uiPriority="824"/>
    <w:lsdException w:name="Medium Shading 1 Accent 5" w:uiPriority="825"/>
    <w:lsdException w:name="Medium Shading 2 Accent 5" w:uiPriority="1432"/>
    <w:lsdException w:name="Medium List 1 Accent 5" w:uiPriority="1433"/>
    <w:lsdException w:name="Medium List 2 Accent 5" w:uiPriority="1536"/>
    <w:lsdException w:name="Medium Grid 1 Accent 5" w:uiPriority="1537"/>
    <w:lsdException w:name="Medium Grid 2 Accent 5" w:uiPriority="1544"/>
    <w:lsdException w:name="Medium Grid 3 Accent 5" w:uiPriority="1545"/>
    <w:lsdException w:name="Dark List Accent 5" w:uiPriority="1576"/>
    <w:lsdException w:name="Colorful Shading Accent 5" w:uiPriority="1577"/>
    <w:lsdException w:name="Colorful List Accent 5" w:uiPriority="1584"/>
    <w:lsdException w:name="Colorful Grid Accent 5" w:uiPriority="1585"/>
    <w:lsdException w:name="Light Shading Accent 6" w:uiPriority="822"/>
    <w:lsdException w:name="Light List Accent 6" w:uiPriority="823"/>
    <w:lsdException w:name="Light Grid Accent 6" w:uiPriority="824"/>
    <w:lsdException w:name="Medium Shading 1 Accent 6" w:uiPriority="825"/>
    <w:lsdException w:name="Medium Shading 2 Accent 6" w:uiPriority="1432"/>
    <w:lsdException w:name="Medium List 1 Accent 6" w:uiPriority="1433"/>
    <w:lsdException w:name="Medium List 2 Accent 6" w:uiPriority="1536"/>
    <w:lsdException w:name="Medium Grid 1 Accent 6" w:uiPriority="1537"/>
    <w:lsdException w:name="Medium Grid 2 Accent 6" w:uiPriority="1544"/>
    <w:lsdException w:name="Medium Grid 3 Accent 6" w:uiPriority="1545"/>
    <w:lsdException w:name="Dark List Accent 6" w:uiPriority="1576"/>
    <w:lsdException w:name="Colorful Shading Accent 6" w:uiPriority="1577"/>
    <w:lsdException w:name="Colorful List Accent 6" w:uiPriority="1584"/>
    <w:lsdException w:name="Colorful Grid Accent 6" w:uiPriority="1585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Plain Table 1" w:uiPriority="599"/>
    <w:lsdException w:name="Plain Table 2" w:uiPriority="600"/>
    <w:lsdException w:name="Plain Table 3" w:uiPriority="601"/>
    <w:lsdException w:name="Plain Table 4" w:uiPriority="608"/>
    <w:lsdException w:name="Plain Table 5" w:uiPriority="609"/>
    <w:lsdException w:name="Grid Table Light" w:uiPriority="598"/>
    <w:lsdException w:name="Grid Table 1 Light" w:uiPriority="628"/>
    <w:lsdException w:name="Grid Table 2" w:uiPriority="629"/>
    <w:lsdException w:name="Grid Table 3" w:uiPriority="630"/>
    <w:lsdException w:name="Grid Table 4" w:uiPriority="631"/>
    <w:lsdException w:name="Grid Table 5 Dark" w:uiPriority="662"/>
    <w:lsdException w:name="Grid Table 6 Colorful" w:uiPriority="663"/>
    <w:lsdException w:name="Grid Table 7 Colorful" w:uiPriority="772"/>
    <w:lsdException w:name="Grid Table 1 Light Accent 1" w:uiPriority="628"/>
    <w:lsdException w:name="Grid Table 2 Accent 1" w:uiPriority="629"/>
    <w:lsdException w:name="Grid Table 3 Accent 1" w:uiPriority="630"/>
    <w:lsdException w:name="Grid Table 4 Accent 1" w:uiPriority="631"/>
    <w:lsdException w:name="Grid Table 5 Dark Accent 1" w:uiPriority="662"/>
    <w:lsdException w:name="Grid Table 6 Colorful Accent 1" w:uiPriority="663"/>
    <w:lsdException w:name="Grid Table 7 Colorful Accent 1" w:uiPriority="772"/>
    <w:lsdException w:name="Grid Table 1 Light Accent 2" w:uiPriority="628"/>
    <w:lsdException w:name="Grid Table 2 Accent 2" w:uiPriority="629"/>
    <w:lsdException w:name="Grid Table 3 Accent 2" w:uiPriority="630"/>
    <w:lsdException w:name="Grid Table 4 Accent 2" w:uiPriority="631"/>
    <w:lsdException w:name="Grid Table 5 Dark Accent 2" w:uiPriority="662"/>
    <w:lsdException w:name="Grid Table 6 Colorful Accent 2" w:uiPriority="663"/>
    <w:lsdException w:name="Grid Table 7 Colorful Accent 2" w:uiPriority="772"/>
    <w:lsdException w:name="Grid Table 1 Light Accent 3" w:uiPriority="628"/>
    <w:lsdException w:name="Grid Table 2 Accent 3" w:uiPriority="629"/>
    <w:lsdException w:name="Grid Table 3 Accent 3" w:uiPriority="630"/>
    <w:lsdException w:name="Grid Table 4 Accent 3" w:uiPriority="631"/>
    <w:lsdException w:name="Grid Table 5 Dark Accent 3" w:uiPriority="662"/>
    <w:lsdException w:name="Grid Table 6 Colorful Accent 3" w:uiPriority="663"/>
    <w:lsdException w:name="Grid Table 7 Colorful Accent 3" w:uiPriority="772"/>
    <w:lsdException w:name="Grid Table 1 Light Accent 4" w:uiPriority="628"/>
    <w:lsdException w:name="Grid Table 2 Accent 4" w:uiPriority="629"/>
    <w:lsdException w:name="Grid Table 3 Accent 4" w:uiPriority="630"/>
    <w:lsdException w:name="Grid Table 4 Accent 4" w:uiPriority="631"/>
    <w:lsdException w:name="Grid Table 5 Dark Accent 4" w:uiPriority="662"/>
    <w:lsdException w:name="Grid Table 6 Colorful Accent 4" w:uiPriority="663"/>
    <w:lsdException w:name="Grid Table 7 Colorful Accent 4" w:uiPriority="772"/>
    <w:lsdException w:name="Grid Table 1 Light Accent 5" w:uiPriority="628"/>
    <w:lsdException w:name="Grid Table 2 Accent 5" w:uiPriority="629"/>
    <w:lsdException w:name="Grid Table 3 Accent 5" w:uiPriority="630"/>
    <w:lsdException w:name="Grid Table 4 Accent 5" w:uiPriority="631"/>
    <w:lsdException w:name="Grid Table 5 Dark Accent 5" w:uiPriority="662"/>
    <w:lsdException w:name="Grid Table 6 Colorful Accent 5" w:uiPriority="663"/>
    <w:lsdException w:name="Grid Table 7 Colorful Accent 5" w:uiPriority="772"/>
    <w:lsdException w:name="Grid Table 1 Light Accent 6" w:uiPriority="628"/>
    <w:lsdException w:name="Grid Table 2 Accent 6" w:uiPriority="629"/>
    <w:lsdException w:name="Grid Table 3 Accent 6" w:uiPriority="630"/>
    <w:lsdException w:name="Grid Table 4 Accent 6" w:uiPriority="631"/>
    <w:lsdException w:name="Grid Table 5 Dark Accent 6" w:uiPriority="662"/>
    <w:lsdException w:name="Grid Table 6 Colorful Accent 6" w:uiPriority="663"/>
    <w:lsdException w:name="Grid Table 7 Colorful Accent 6" w:uiPriority="772"/>
    <w:lsdException w:name="List Table 1 Light" w:uiPriority="628"/>
    <w:lsdException w:name="List Table 2" w:uiPriority="629"/>
    <w:lsdException w:name="List Table 3" w:uiPriority="630"/>
    <w:lsdException w:name="List Table 4" w:uiPriority="631"/>
    <w:lsdException w:name="List Table 5 Dark" w:uiPriority="662"/>
    <w:lsdException w:name="List Table 6 Colorful" w:uiPriority="663"/>
    <w:lsdException w:name="List Table 7 Colorful" w:uiPriority="772"/>
    <w:lsdException w:name="List Table 1 Light Accent 1" w:uiPriority="628"/>
    <w:lsdException w:name="List Table 2 Accent 1" w:uiPriority="629"/>
    <w:lsdException w:name="List Table 3 Accent 1" w:uiPriority="630"/>
    <w:lsdException w:name="List Table 4 Accent 1" w:uiPriority="631"/>
    <w:lsdException w:name="List Table 5 Dark Accent 1" w:uiPriority="662"/>
    <w:lsdException w:name="List Table 6 Colorful Accent 1" w:uiPriority="663"/>
    <w:lsdException w:name="List Table 7 Colorful Accent 1" w:uiPriority="772"/>
    <w:lsdException w:name="List Table 1 Light Accent 2" w:uiPriority="628"/>
    <w:lsdException w:name="List Table 2 Accent 2" w:uiPriority="629"/>
    <w:lsdException w:name="List Table 3 Accent 2" w:uiPriority="630"/>
    <w:lsdException w:name="List Table 4 Accent 2" w:uiPriority="631"/>
    <w:lsdException w:name="List Table 5 Dark Accent 2" w:uiPriority="662"/>
    <w:lsdException w:name="List Table 6 Colorful Accent 2" w:uiPriority="663"/>
    <w:lsdException w:name="List Table 7 Colorful Accent 2" w:uiPriority="772"/>
    <w:lsdException w:name="List Table 1 Light Accent 3" w:uiPriority="628"/>
    <w:lsdException w:name="List Table 2 Accent 3" w:uiPriority="629"/>
    <w:lsdException w:name="List Table 3 Accent 3" w:uiPriority="630"/>
    <w:lsdException w:name="List Table 4 Accent 3" w:uiPriority="631"/>
    <w:lsdException w:name="List Table 5 Dark Accent 3" w:uiPriority="662"/>
    <w:lsdException w:name="List Table 6 Colorful Accent 3" w:uiPriority="663"/>
    <w:lsdException w:name="List Table 7 Colorful Accent 3" w:uiPriority="772"/>
    <w:lsdException w:name="List Table 1 Light Accent 4" w:uiPriority="628"/>
    <w:lsdException w:name="List Table 2 Accent 4" w:uiPriority="629"/>
    <w:lsdException w:name="List Table 3 Accent 4" w:uiPriority="630"/>
    <w:lsdException w:name="List Table 4 Accent 4" w:uiPriority="631"/>
    <w:lsdException w:name="List Table 5 Dark Accent 4" w:uiPriority="662"/>
    <w:lsdException w:name="List Table 6 Colorful Accent 4" w:uiPriority="663"/>
    <w:lsdException w:name="List Table 7 Colorful Accent 4" w:uiPriority="772"/>
    <w:lsdException w:name="List Table 1 Light Accent 5" w:uiPriority="628"/>
    <w:lsdException w:name="List Table 2 Accent 5" w:uiPriority="629"/>
    <w:lsdException w:name="List Table 3 Accent 5" w:uiPriority="630"/>
    <w:lsdException w:name="List Table 4 Accent 5" w:uiPriority="631"/>
    <w:lsdException w:name="List Table 5 Dark Accent 5" w:uiPriority="662"/>
    <w:lsdException w:name="List Table 6 Colorful Accent 5" w:uiPriority="663"/>
    <w:lsdException w:name="List Table 7 Colorful Accent 5" w:uiPriority="772"/>
    <w:lsdException w:name="List Table 1 Light Accent 6" w:uiPriority="628"/>
    <w:lsdException w:name="List Table 2 Accent 6" w:uiPriority="629"/>
    <w:lsdException w:name="List Table 3 Accent 6" w:uiPriority="630"/>
    <w:lsdException w:name="List Table 4 Accent 6" w:uiPriority="631"/>
    <w:lsdException w:name="List Table 5 Dark Accent 6" w:uiPriority="662"/>
    <w:lsdException w:name="List Table 6 Colorful Accent 6" w:uiPriority="663"/>
    <w:lsdException w:name="List Table 7 Colorful Accent 6" w:uiPriority="77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a5"/>
    <w:basedOn w:val="a"/>
    <w:pPr>
      <w:autoSpaceDE/>
      <w:autoSpaceDN/>
      <w:widowControl/>
      <w:wordWrap/>
      <w:snapToGrid w:val="0"/>
      <w:textAlignment w:val="baseline"/>
    </w:pPr>
    <w:rPr>
      <w:rFonts w:ascii="맑은 고딕" w:eastAsia="맑은 고딕" w:hAnsi="맑은 고딕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김나연</cp:lastModifiedBy>
  <cp:revision>1</cp:revision>
  <dcterms:created xsi:type="dcterms:W3CDTF">2020-04-21T02:00:00Z</dcterms:created>
  <dcterms:modified xsi:type="dcterms:W3CDTF">2020-04-23T10:18:56Z</dcterms:modified>
  <cp:version>1000.0100.01</cp:version>
</cp:coreProperties>
</file>